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Membership/Communications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August 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11:00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Carol Calabrese, Michelle Capone, Aviva Gold, Marijean Remington,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Joe Russo, Matt Siver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Rob Aiken, Jeremy Evans,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Brian Gladwin,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Dale Rice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Molly Ryan, Eric Virkler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Fall Forum Planning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Location: First choice will be Mirror Lake Inn. If that is unavailable, second choice is Old Main in Potsdam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Topic: Renewable Energy in NYS: Gaining a better understanding of the power revolution and how it affects our communities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Format: Two panels; Before lunch, from the grid side, after lunch the community side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Agenda: Will still include the NCA board meeting, but Marijean will keep it to 15 minutes. We will start the program earlier than usual to accommodate everything.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contact for panels:</w:t>
      </w:r>
    </w:p>
    <w:tbl>
      <w:tblPr>
        <w:tblStyle w:val="Table1"/>
        <w:tblW w:w="9705.0" w:type="dxa"/>
        <w:jc w:val="left"/>
        <w:tblInd w:w="1540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600"/>
      </w:tblPr>
      <w:tblGrid>
        <w:gridCol w:w="870"/>
        <w:gridCol w:w="2970"/>
        <w:gridCol w:w="3150"/>
        <w:gridCol w:w="1710"/>
        <w:gridCol w:w="1005"/>
        <w:tblGridChange w:id="0">
          <w:tblGrid>
            <w:gridCol w:w="870"/>
            <w:gridCol w:w="2970"/>
            <w:gridCol w:w="3150"/>
            <w:gridCol w:w="1710"/>
            <w:gridCol w:w="1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PANEL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REP(s)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NCA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Y/N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National Grid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NYPA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NY 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NYSERDA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Essex County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Jody Alcott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SLC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Jason Pfotenhauer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Michelle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Naturally Lewis/wind stuff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Brittany Davis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Aviva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Aviva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Tug Hill Commission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Michelle?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Additional Strategic Plan Work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E-news sponsorship will be addressed at the next meeting and will be a board decision.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11:35 am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right="-9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September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Teams</w:t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</wp:posOffset>
          </wp:positionH>
          <wp:positionV relativeFrom="paragraph">
            <wp:posOffset>-266683</wp:posOffset>
          </wp:positionV>
          <wp:extent cx="7282542" cy="1132840"/>
          <wp:effectExtent b="0" l="0" r="0" t="0"/>
          <wp:wrapSquare wrapText="bothSides" distB="0" distT="0" distL="114300" distR="114300"/>
          <wp:docPr id="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3s/NBK8bQiYWOhdQ704oyjZuw==">AMUW2mVXRdl89Z4l6MSY3Nfp9Mk8z7VZ/O4oLw5nJiFE8K9OuSsF1SGKSWg4MSkNNzFsqTBqzSgjaPdnlBa/aPacqpKzcAEOrZe5b9FBqtkW0OFXPaSiYJrasYPy65gq2e3zXEu7STks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